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0CD28" w14:textId="77BA792C" w:rsidR="00A80607" w:rsidRPr="00EF1F9C" w:rsidRDefault="00A80607" w:rsidP="00A80607">
      <w:pPr>
        <w:pStyle w:val="CH"/>
        <w:rPr>
          <w:lang w:val="en-US"/>
        </w:rPr>
      </w:pPr>
      <w:bookmarkStart w:id="0" w:name="historyclause"/>
      <w:r w:rsidRPr="00EF1F9C">
        <w:rPr>
          <w:lang w:val="en-US"/>
        </w:rPr>
        <w:t>3GPP RAN WG4 Meeting #105</w:t>
      </w:r>
      <w:r w:rsidRPr="00EF1F9C">
        <w:rPr>
          <w:lang w:val="en-US"/>
        </w:rPr>
        <w:tab/>
      </w:r>
      <w:r w:rsidRPr="00EF1F9C">
        <w:rPr>
          <w:lang w:val="en-US"/>
        </w:rPr>
        <w:tab/>
      </w:r>
      <w:r w:rsidRPr="003E2DAE">
        <w:rPr>
          <w:lang w:val="en-US"/>
        </w:rPr>
        <w:t>R4-22</w:t>
      </w:r>
      <w:r w:rsidR="003E2DAE" w:rsidRPr="003E2DAE">
        <w:rPr>
          <w:lang w:val="en-US"/>
        </w:rPr>
        <w:t>18123</w:t>
      </w:r>
    </w:p>
    <w:p w14:paraId="50DC9730" w14:textId="48AB2CF4" w:rsidR="00D309CC" w:rsidRPr="00FD166F" w:rsidRDefault="00A80607" w:rsidP="00A80607">
      <w:pPr>
        <w:pStyle w:val="CH"/>
        <w:tabs>
          <w:tab w:val="clear" w:pos="7920"/>
        </w:tabs>
        <w:rPr>
          <w:b w:val="0"/>
        </w:rPr>
      </w:pPr>
      <w:r>
        <w:t>Toulouse</w:t>
      </w:r>
      <w:r w:rsidRPr="00EC4847">
        <w:t xml:space="preserve">, </w:t>
      </w:r>
      <w:r>
        <w:t>France, November 14</w:t>
      </w:r>
      <w:r w:rsidRPr="00EC4847">
        <w:t xml:space="preserve"> – </w:t>
      </w:r>
      <w:r>
        <w:t xml:space="preserve">November 18, </w:t>
      </w:r>
      <w:r w:rsidRPr="00EC4847">
        <w:t>202</w:t>
      </w:r>
      <w:r>
        <w:t>2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D21AB8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A80607">
        <w:t>5.2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576CBAB4" w:rsidR="00D309CC" w:rsidRPr="00345E06" w:rsidRDefault="00D309CC" w:rsidP="00D309CC">
      <w:pPr>
        <w:pStyle w:val="CH"/>
        <w:rPr>
          <w:lang w:val="en-DE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A80607">
        <w:rPr>
          <w:lang w:val="en-US"/>
        </w:rPr>
        <w:t>ACS and IBB in-gap exemption for CA_n258-n261</w:t>
      </w:r>
    </w:p>
    <w:p w14:paraId="052B1E0C" w14:textId="4101FDEE" w:rsidR="00104BC6" w:rsidRPr="0031085D" w:rsidRDefault="00104BC6" w:rsidP="00D309CC">
      <w:pPr>
        <w:pStyle w:val="CH"/>
        <w:rPr>
          <w:lang w:val="en-US"/>
        </w:rPr>
      </w:pPr>
      <w:r w:rsidRPr="00345BD4">
        <w:rPr>
          <w:lang w:val="en-DE"/>
        </w:rPr>
        <w:t>WI/SI:</w:t>
      </w:r>
      <w:r w:rsidRPr="00345BD4">
        <w:rPr>
          <w:lang w:val="en-DE"/>
        </w:rPr>
        <w:tab/>
      </w:r>
      <w:r w:rsidR="00A80607" w:rsidRPr="00EF1F9C">
        <w:rPr>
          <w:lang w:val="en-US"/>
        </w:rPr>
        <w:t>NR_RF_FR2_req_enh</w:t>
      </w:r>
      <w:r w:rsidR="00A80607">
        <w:rPr>
          <w:lang w:val="en-US"/>
        </w:rPr>
        <w:t>2-Core</w:t>
      </w:r>
    </w:p>
    <w:p w14:paraId="6C6D1281" w14:textId="0F84F27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034EA1">
        <w:t>Rel-</w:t>
      </w:r>
      <w:r w:rsidR="007A789C" w:rsidRPr="00034EA1">
        <w:t>1</w:t>
      </w:r>
      <w:r w:rsidR="00034EA1" w:rsidRPr="00034EA1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31CE06A" w14:textId="5277592D" w:rsidR="00FF5BD8" w:rsidRDefault="008F1951" w:rsidP="00FF5BD8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In RAN4 #104-e </w:t>
      </w:r>
      <w:r w:rsidR="009B5E4F">
        <w:rPr>
          <w:color w:val="000000"/>
          <w:sz w:val="20"/>
          <w:szCs w:val="20"/>
          <w:lang w:val="en-US"/>
        </w:rPr>
        <w:t xml:space="preserve">meeting </w:t>
      </w:r>
      <w:r w:rsidR="00877A30">
        <w:rPr>
          <w:color w:val="000000"/>
          <w:sz w:val="20"/>
          <w:szCs w:val="20"/>
          <w:lang w:val="en-US"/>
        </w:rPr>
        <w:t xml:space="preserve">it was discussed </w:t>
      </w:r>
      <w:r>
        <w:rPr>
          <w:color w:val="000000"/>
          <w:sz w:val="20"/>
          <w:szCs w:val="20"/>
          <w:lang w:val="en-US"/>
        </w:rPr>
        <w:t xml:space="preserve">the ACS and IBB </w:t>
      </w:r>
      <w:r w:rsidR="00877A30">
        <w:rPr>
          <w:color w:val="000000"/>
          <w:sz w:val="20"/>
          <w:szCs w:val="20"/>
          <w:lang w:val="en-US"/>
        </w:rPr>
        <w:t>requirement impact for CA_n258-n261</w:t>
      </w:r>
      <w:r w:rsidR="00543C25">
        <w:rPr>
          <w:color w:val="000000"/>
          <w:sz w:val="20"/>
          <w:szCs w:val="20"/>
          <w:lang w:val="en-US"/>
        </w:rPr>
        <w:t xml:space="preserve">, </w:t>
      </w:r>
      <w:r w:rsidR="00877A30">
        <w:rPr>
          <w:color w:val="000000"/>
          <w:sz w:val="20"/>
          <w:szCs w:val="20"/>
          <w:lang w:val="en-US"/>
        </w:rPr>
        <w:t xml:space="preserve">due to the adjacent spectrum </w:t>
      </w:r>
      <w:r w:rsidR="00543C25">
        <w:rPr>
          <w:color w:val="000000"/>
          <w:sz w:val="20"/>
          <w:szCs w:val="20"/>
          <w:lang w:val="en-US"/>
        </w:rPr>
        <w:t>between these two bands</w:t>
      </w:r>
      <w:r w:rsidR="00A614CE">
        <w:rPr>
          <w:color w:val="000000"/>
          <w:sz w:val="20"/>
          <w:szCs w:val="20"/>
          <w:lang w:val="en-US"/>
        </w:rPr>
        <w:t xml:space="preserve">. A </w:t>
      </w:r>
      <w:r>
        <w:rPr>
          <w:color w:val="000000"/>
          <w:sz w:val="20"/>
          <w:szCs w:val="20"/>
          <w:lang w:val="en-US"/>
        </w:rPr>
        <w:t>WF was approved for in-gap exemption for inter-band DL CA [1] to discuss the following options</w:t>
      </w:r>
      <w:r w:rsidR="00877A30">
        <w:rPr>
          <w:color w:val="000000"/>
          <w:sz w:val="20"/>
          <w:szCs w:val="20"/>
          <w:lang w:val="en-US"/>
        </w:rPr>
        <w:t xml:space="preserve"> in the upcoming meeting</w:t>
      </w:r>
      <w:r>
        <w:rPr>
          <w:color w:val="000000"/>
          <w:sz w:val="20"/>
          <w:szCs w:val="20"/>
          <w:lang w:val="en-US"/>
        </w:rPr>
        <w:t>:</w:t>
      </w:r>
    </w:p>
    <w:p w14:paraId="594F44F3" w14:textId="51150946" w:rsidR="008F1951" w:rsidRDefault="008F1951" w:rsidP="00FF5BD8">
      <w:pPr>
        <w:rPr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1951" w14:paraId="12E798B1" w14:textId="77777777" w:rsidTr="008F1951">
        <w:tc>
          <w:tcPr>
            <w:tcW w:w="9631" w:type="dxa"/>
          </w:tcPr>
          <w:p w14:paraId="6DE04237" w14:textId="2C1129D5" w:rsidR="008F1951" w:rsidRPr="00784D35" w:rsidRDefault="008F1951" w:rsidP="008F1951">
            <w:pPr>
              <w:spacing w:afterLines="50" w:after="120"/>
              <w:rPr>
                <w:b/>
                <w:bCs/>
                <w:sz w:val="20"/>
                <w:szCs w:val="20"/>
                <w:lang w:val="en-US" w:eastAsia="zh-CN"/>
              </w:rPr>
            </w:pPr>
            <w:r w:rsidRPr="00784D35">
              <w:rPr>
                <w:b/>
                <w:bCs/>
                <w:sz w:val="20"/>
                <w:szCs w:val="20"/>
                <w:lang w:eastAsia="zh-CN"/>
              </w:rPr>
              <w:t>WF on in-gap exemption for inter-band DL CA</w:t>
            </w:r>
            <w:r w:rsidRPr="00784D35">
              <w:rPr>
                <w:b/>
                <w:bCs/>
                <w:sz w:val="20"/>
                <w:szCs w:val="20"/>
                <w:lang w:val="en-US" w:eastAsia="zh-CN"/>
              </w:rPr>
              <w:t xml:space="preserve"> (R4-2214416)</w:t>
            </w:r>
          </w:p>
          <w:p w14:paraId="69CAE874" w14:textId="77777777" w:rsidR="008F1951" w:rsidRPr="00784D35" w:rsidRDefault="008F1951" w:rsidP="008F1951">
            <w:pPr>
              <w:spacing w:afterLines="50" w:after="120"/>
              <w:rPr>
                <w:bCs/>
                <w:sz w:val="20"/>
                <w:szCs w:val="20"/>
                <w:lang w:eastAsia="zh-CN"/>
              </w:rPr>
            </w:pPr>
            <w:r w:rsidRPr="00784D35">
              <w:rPr>
                <w:bCs/>
                <w:sz w:val="20"/>
                <w:szCs w:val="20"/>
                <w:lang w:eastAsia="zh-CN"/>
              </w:rPr>
              <w:t>Further discuss following options considering the adjacent spectrum in FR2 inter-band DL CA:</w:t>
            </w:r>
          </w:p>
          <w:p w14:paraId="28448B2D" w14:textId="77777777" w:rsidR="008F1951" w:rsidRPr="00784D35" w:rsidRDefault="008F1951" w:rsidP="008F1951">
            <w:pPr>
              <w:spacing w:afterLines="50" w:after="120"/>
              <w:rPr>
                <w:bCs/>
                <w:sz w:val="20"/>
                <w:szCs w:val="20"/>
                <w:lang w:eastAsia="zh-CN"/>
              </w:rPr>
            </w:pPr>
            <w:r w:rsidRPr="00784D35">
              <w:rPr>
                <w:b/>
                <w:sz w:val="20"/>
                <w:szCs w:val="20"/>
                <w:lang w:eastAsia="zh-CN"/>
              </w:rPr>
              <w:t>Option 1</w:t>
            </w:r>
            <w:r w:rsidRPr="00784D35">
              <w:rPr>
                <w:bCs/>
                <w:sz w:val="20"/>
                <w:szCs w:val="20"/>
                <w:lang w:eastAsia="zh-CN"/>
              </w:rPr>
              <w:t>: Introduce in-gap exemption like intra-band NC CA.</w:t>
            </w:r>
          </w:p>
          <w:p w14:paraId="689BF970" w14:textId="77777777" w:rsidR="008F1951" w:rsidRPr="00784D35" w:rsidRDefault="008F1951" w:rsidP="008F1951">
            <w:pPr>
              <w:spacing w:afterLines="50" w:after="120"/>
              <w:rPr>
                <w:bCs/>
                <w:sz w:val="20"/>
                <w:szCs w:val="20"/>
                <w:lang w:eastAsia="zh-CN"/>
              </w:rPr>
            </w:pPr>
            <w:r w:rsidRPr="00784D35">
              <w:rPr>
                <w:b/>
                <w:sz w:val="20"/>
                <w:szCs w:val="20"/>
                <w:lang w:eastAsia="zh-CN"/>
              </w:rPr>
              <w:t>Option 2</w:t>
            </w:r>
            <w:r w:rsidRPr="00784D35">
              <w:rPr>
                <w:bCs/>
                <w:sz w:val="20"/>
                <w:szCs w:val="20"/>
                <w:lang w:eastAsia="zh-CN"/>
              </w:rPr>
              <w:t>:</w:t>
            </w:r>
            <w:r w:rsidRPr="00784D35">
              <w:rPr>
                <w:sz w:val="20"/>
                <w:szCs w:val="20"/>
              </w:rPr>
              <w:t xml:space="preserve"> Introduce the clarification that:</w:t>
            </w:r>
            <w:r w:rsidRPr="00784D35">
              <w:rPr>
                <w:bCs/>
                <w:sz w:val="20"/>
                <w:szCs w:val="20"/>
                <w:lang w:eastAsia="zh-CN"/>
              </w:rPr>
              <w:t>‘The requirement does not apply if the interferer of the band being tested overlaps any part of the component carrier on the other band’.</w:t>
            </w:r>
          </w:p>
          <w:p w14:paraId="42BD3174" w14:textId="77777777" w:rsidR="008F1951" w:rsidRPr="00784D35" w:rsidRDefault="008F1951" w:rsidP="008F1951">
            <w:pPr>
              <w:spacing w:afterLines="50" w:after="120"/>
              <w:rPr>
                <w:bCs/>
                <w:sz w:val="20"/>
                <w:szCs w:val="20"/>
                <w:lang w:eastAsia="zh-CN"/>
              </w:rPr>
            </w:pPr>
            <w:r w:rsidRPr="00784D35">
              <w:rPr>
                <w:b/>
                <w:sz w:val="20"/>
                <w:szCs w:val="20"/>
                <w:lang w:eastAsia="zh-CN"/>
              </w:rPr>
              <w:t>Option 3</w:t>
            </w:r>
            <w:r w:rsidRPr="00784D35">
              <w:rPr>
                <w:bCs/>
                <w:sz w:val="20"/>
                <w:szCs w:val="20"/>
                <w:lang w:eastAsia="zh-CN"/>
              </w:rPr>
              <w:t>: No changes are introduced</w:t>
            </w:r>
          </w:p>
          <w:p w14:paraId="6F1EFAF7" w14:textId="77777777" w:rsidR="008F1951" w:rsidRPr="00784D35" w:rsidRDefault="008F1951" w:rsidP="008F1951">
            <w:pPr>
              <w:spacing w:afterLines="50" w:after="120"/>
              <w:rPr>
                <w:sz w:val="20"/>
                <w:szCs w:val="20"/>
                <w:lang w:eastAsia="zh-CN"/>
              </w:rPr>
            </w:pPr>
            <w:r w:rsidRPr="00784D35">
              <w:rPr>
                <w:sz w:val="20"/>
                <w:szCs w:val="20"/>
                <w:lang w:eastAsia="zh-CN"/>
              </w:rPr>
              <w:t>Other solutions are not precluded.</w:t>
            </w:r>
          </w:p>
          <w:p w14:paraId="296B429F" w14:textId="77777777" w:rsidR="008F1951" w:rsidRPr="008F1951" w:rsidRDefault="008F1951" w:rsidP="00FF5BD8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F11AAF5" w14:textId="77777777" w:rsidR="008F1951" w:rsidRDefault="008F1951" w:rsidP="00FF5BD8">
      <w:pPr>
        <w:rPr>
          <w:color w:val="000000"/>
          <w:sz w:val="20"/>
          <w:szCs w:val="20"/>
          <w:lang w:val="en-US"/>
        </w:rPr>
      </w:pPr>
    </w:p>
    <w:p w14:paraId="313FC27A" w14:textId="7487693E" w:rsidR="004861DC" w:rsidRPr="00784D35" w:rsidRDefault="008F1951" w:rsidP="00F37186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In this contribution, we share our </w:t>
      </w:r>
      <w:r w:rsidR="00877A30">
        <w:rPr>
          <w:color w:val="000000"/>
          <w:sz w:val="20"/>
          <w:szCs w:val="20"/>
          <w:lang w:val="en-US"/>
        </w:rPr>
        <w:t>position</w:t>
      </w:r>
      <w:r>
        <w:rPr>
          <w:color w:val="000000"/>
          <w:sz w:val="20"/>
          <w:szCs w:val="20"/>
          <w:lang w:val="en-US"/>
        </w:rPr>
        <w:t xml:space="preserve"> on the introduction of in-gap exemption for </w:t>
      </w:r>
      <w:r w:rsidR="00877A30">
        <w:rPr>
          <w:color w:val="000000"/>
          <w:sz w:val="20"/>
          <w:szCs w:val="20"/>
          <w:lang w:val="en-US"/>
        </w:rPr>
        <w:t>CA_n258-n261.</w:t>
      </w:r>
    </w:p>
    <w:p w14:paraId="3A67921B" w14:textId="15968470" w:rsidR="008E7986" w:rsidRDefault="008E7986" w:rsidP="008E7986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33DEDFB4" w14:textId="6DF29271" w:rsidR="00BF2874" w:rsidRDefault="008F1951" w:rsidP="005509FF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RAN4 has discussed the </w:t>
      </w:r>
      <w:r w:rsidRPr="008F1951">
        <w:rPr>
          <w:color w:val="000000"/>
          <w:sz w:val="20"/>
          <w:szCs w:val="20"/>
          <w:lang w:val="en-US"/>
        </w:rPr>
        <w:t>challenges related to the adjacent FR2 bands n258 (24.250 - 27.500 GHz) and n261 (27.500 - 28.350 GHz) considering FR2 inter-band DL CA and whether to introduce in-gap exemption for ACS and IBB.</w:t>
      </w:r>
      <w:r w:rsidR="00784D35">
        <w:rPr>
          <w:color w:val="000000"/>
          <w:sz w:val="20"/>
          <w:szCs w:val="20"/>
          <w:lang w:val="en-US"/>
        </w:rPr>
        <w:t xml:space="preserve"> </w:t>
      </w:r>
      <w:r w:rsidR="00877A30">
        <w:rPr>
          <w:color w:val="000000"/>
          <w:sz w:val="20"/>
          <w:szCs w:val="20"/>
          <w:lang w:val="en-US"/>
        </w:rPr>
        <w:t xml:space="preserve">There is hardware limitation in FR2 to isolate two adjacent CCs for </w:t>
      </w:r>
      <w:r w:rsidR="00543C25">
        <w:rPr>
          <w:color w:val="000000"/>
          <w:sz w:val="20"/>
          <w:szCs w:val="20"/>
          <w:lang w:val="en-US"/>
        </w:rPr>
        <w:t xml:space="preserve">adjacent spectrum. </w:t>
      </w:r>
      <w:r w:rsidR="00877A30">
        <w:rPr>
          <w:color w:val="000000"/>
          <w:sz w:val="20"/>
          <w:szCs w:val="20"/>
          <w:lang w:val="en-US"/>
        </w:rPr>
        <w:t>The two adjacent CCs make t</w:t>
      </w:r>
      <w:r w:rsidR="00784D35">
        <w:rPr>
          <w:color w:val="000000"/>
          <w:sz w:val="20"/>
          <w:szCs w:val="20"/>
          <w:lang w:val="en-US"/>
        </w:rPr>
        <w:t>he requirements for inter-band CA more stringent compared to single carrier requirements</w:t>
      </w:r>
      <w:r w:rsidR="00877A30">
        <w:rPr>
          <w:color w:val="000000"/>
          <w:sz w:val="20"/>
          <w:szCs w:val="20"/>
          <w:lang w:val="en-US"/>
        </w:rPr>
        <w:t xml:space="preserve">. </w:t>
      </w:r>
    </w:p>
    <w:p w14:paraId="1B9BEF84" w14:textId="48406AC0" w:rsidR="00784D35" w:rsidRDefault="00784D35" w:rsidP="005509FF">
      <w:pPr>
        <w:rPr>
          <w:color w:val="000000"/>
          <w:sz w:val="20"/>
          <w:szCs w:val="20"/>
          <w:lang w:val="en-US"/>
        </w:rPr>
      </w:pPr>
    </w:p>
    <w:p w14:paraId="1314ED03" w14:textId="2CBE8C59" w:rsidR="00A47653" w:rsidRPr="00784D35" w:rsidRDefault="00877A30" w:rsidP="00E164BB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 xml:space="preserve">As raised in [2], </w:t>
      </w:r>
      <w:r w:rsidR="00784D35">
        <w:rPr>
          <w:color w:val="000000"/>
          <w:sz w:val="20"/>
          <w:szCs w:val="20"/>
          <w:lang w:val="en-US"/>
        </w:rPr>
        <w:t>RAN4 previously discussed the issue</w:t>
      </w:r>
      <w:r>
        <w:rPr>
          <w:color w:val="000000"/>
          <w:sz w:val="20"/>
          <w:szCs w:val="20"/>
          <w:lang w:val="en-US"/>
        </w:rPr>
        <w:t xml:space="preserve"> </w:t>
      </w:r>
      <w:r w:rsidR="00784D35">
        <w:rPr>
          <w:color w:val="000000"/>
          <w:sz w:val="20"/>
          <w:szCs w:val="20"/>
          <w:lang w:val="en-US"/>
        </w:rPr>
        <w:t>to introduce in-gap exemption for ACS and IBB but considering CBM</w:t>
      </w:r>
      <w:r>
        <w:rPr>
          <w:color w:val="000000"/>
          <w:sz w:val="20"/>
          <w:szCs w:val="20"/>
          <w:lang w:val="en-US"/>
        </w:rPr>
        <w:t xml:space="preserve">. In our view, this </w:t>
      </w:r>
      <w:r w:rsidR="00543C25">
        <w:rPr>
          <w:color w:val="000000"/>
          <w:sz w:val="20"/>
          <w:szCs w:val="20"/>
          <w:lang w:val="en-US"/>
        </w:rPr>
        <w:t xml:space="preserve">in-gap exemption </w:t>
      </w:r>
      <w:r>
        <w:rPr>
          <w:color w:val="000000"/>
          <w:sz w:val="20"/>
          <w:szCs w:val="20"/>
          <w:lang w:val="en-US"/>
        </w:rPr>
        <w:t>should also be applicable for the IBM.</w:t>
      </w:r>
      <m:oMath>
        <m:r>
          <m:rPr>
            <m:sty m:val="p"/>
          </m:rPr>
          <w:rPr>
            <w:rFonts w:ascii="Cambria Math" w:hAnsi="Cambria Math"/>
            <w:sz w:val="17"/>
            <w:szCs w:val="17"/>
            <w:lang w:val="en-US"/>
          </w:rPr>
          <w:br/>
        </m:r>
      </m:oMath>
    </w:p>
    <w:tbl>
      <w:tblPr>
        <w:tblStyle w:val="TableGrid"/>
        <w:tblW w:w="9982" w:type="dxa"/>
        <w:tblLook w:val="04A0" w:firstRow="1" w:lastRow="0" w:firstColumn="1" w:lastColumn="0" w:noHBand="0" w:noVBand="1"/>
      </w:tblPr>
      <w:tblGrid>
        <w:gridCol w:w="9982"/>
      </w:tblGrid>
      <w:tr w:rsidR="00784D35" w14:paraId="331D11C8" w14:textId="77777777" w:rsidTr="00155174">
        <w:trPr>
          <w:trHeight w:val="2816"/>
        </w:trPr>
        <w:tc>
          <w:tcPr>
            <w:tcW w:w="9982" w:type="dxa"/>
          </w:tcPr>
          <w:p w14:paraId="79DB6152" w14:textId="77777777" w:rsidR="00155174" w:rsidRPr="00155174" w:rsidRDefault="00155174" w:rsidP="00155174">
            <w:pPr>
              <w:pStyle w:val="ListParagraph"/>
              <w:overflowPunct w:val="0"/>
              <w:autoSpaceDE w:val="0"/>
              <w:autoSpaceDN w:val="0"/>
              <w:adjustRightInd w:val="0"/>
              <w:spacing w:after="180" w:line="259" w:lineRule="auto"/>
              <w:ind w:left="420"/>
              <w:textAlignment w:val="baseline"/>
              <w:rPr>
                <w:b/>
                <w:bCs/>
                <w:sz w:val="13"/>
                <w:szCs w:val="13"/>
                <w:u w:val="single"/>
              </w:rPr>
            </w:pPr>
          </w:p>
          <w:p w14:paraId="76FB3DB8" w14:textId="25EC6B41" w:rsidR="00784D35" w:rsidRPr="00C71300" w:rsidRDefault="00784D35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b/>
                <w:bCs/>
                <w:u w:val="single"/>
              </w:rPr>
            </w:pPr>
            <w:r w:rsidRPr="00C71300">
              <w:rPr>
                <w:b/>
                <w:bCs/>
                <w:u w:val="single"/>
              </w:rPr>
              <w:t>Sub-topic 2-5: in-gap exemption for ACS and IBB</w:t>
            </w:r>
          </w:p>
          <w:p w14:paraId="1F7BA472" w14:textId="77777777" w:rsidR="00784D35" w:rsidRPr="0084638A" w:rsidRDefault="00784D35" w:rsidP="00784D35">
            <w:pPr>
              <w:rPr>
                <w:b/>
                <w:highlight w:val="green"/>
                <w:lang w:eastAsia="zh-CN"/>
              </w:rPr>
            </w:pPr>
            <w:r w:rsidRPr="0084638A">
              <w:rPr>
                <w:b/>
                <w:highlight w:val="green"/>
                <w:lang w:eastAsia="zh-CN"/>
              </w:rPr>
              <w:t xml:space="preserve">Agreement: </w:t>
            </w:r>
          </w:p>
          <w:p w14:paraId="656072C4" w14:textId="77777777" w:rsidR="00784D35" w:rsidRPr="0084638A" w:rsidRDefault="00784D35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84638A">
              <w:rPr>
                <w:highlight w:val="green"/>
              </w:rPr>
              <w:t>Apply the in-gap exemption for the CBM requirements of ACS and IBB for inter</w:t>
            </w:r>
            <w:r w:rsidRPr="0084638A">
              <w:rPr>
                <w:rFonts w:hint="eastAsia"/>
                <w:highlight w:val="green"/>
              </w:rPr>
              <w:t>-</w:t>
            </w:r>
            <w:r w:rsidRPr="0084638A">
              <w:rPr>
                <w:highlight w:val="green"/>
              </w:rPr>
              <w:t xml:space="preserve">band CA within the same frequency group </w:t>
            </w:r>
          </w:p>
          <w:p w14:paraId="401FC2BD" w14:textId="77777777" w:rsidR="00784D35" w:rsidRPr="0084638A" w:rsidRDefault="00784D35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84638A">
              <w:rPr>
                <w:highlight w:val="green"/>
              </w:rPr>
              <w:t>Refer to R4-2114960</w:t>
            </w:r>
          </w:p>
          <w:p w14:paraId="1D7E97F7" w14:textId="77777777" w:rsidR="00784D35" w:rsidRPr="0084638A" w:rsidRDefault="00784D35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highlight w:val="green"/>
              </w:rPr>
            </w:pPr>
            <w:r w:rsidRPr="0084638A">
              <w:rPr>
                <w:highlight w:val="green"/>
              </w:rPr>
              <w:t>For IBM requirements, the following changes in R4-2204789 are agreeable</w:t>
            </w:r>
          </w:p>
          <w:p w14:paraId="1E941CAE" w14:textId="77777777" w:rsidR="00784D35" w:rsidRDefault="00784D35" w:rsidP="00E164BB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39FB8ACF" w14:textId="0668997D" w:rsidR="00784D35" w:rsidRDefault="00784D35" w:rsidP="00E164BB">
      <w:pPr>
        <w:rPr>
          <w:color w:val="000000"/>
          <w:sz w:val="20"/>
          <w:szCs w:val="20"/>
          <w:lang w:val="en-US"/>
        </w:rPr>
      </w:pPr>
    </w:p>
    <w:p w14:paraId="75D507B4" w14:textId="77777777" w:rsidR="00155174" w:rsidRDefault="00155174" w:rsidP="00E164BB">
      <w:pPr>
        <w:rPr>
          <w:color w:val="000000"/>
          <w:sz w:val="20"/>
          <w:szCs w:val="20"/>
          <w:lang w:val="en-US"/>
        </w:rPr>
      </w:pPr>
    </w:p>
    <w:p w14:paraId="2B0CF5C0" w14:textId="77777777" w:rsidR="00784D35" w:rsidRDefault="00784D35" w:rsidP="00E164BB">
      <w:pPr>
        <w:rPr>
          <w:color w:val="000000"/>
          <w:sz w:val="20"/>
          <w:szCs w:val="20"/>
          <w:lang w:val="en-US"/>
        </w:rPr>
      </w:pPr>
    </w:p>
    <w:p w14:paraId="48121B14" w14:textId="45C9E79A" w:rsidR="00D65726" w:rsidRDefault="00734AB7" w:rsidP="00D65726">
      <w:pPr>
        <w:rPr>
          <w:bCs/>
          <w:sz w:val="20"/>
          <w:szCs w:val="20"/>
          <w:lang w:val="en-US" w:eastAsia="zh-CN"/>
        </w:rPr>
      </w:pPr>
      <w:r>
        <w:rPr>
          <w:color w:val="000000"/>
          <w:sz w:val="20"/>
          <w:szCs w:val="20"/>
          <w:lang w:val="en-US"/>
        </w:rPr>
        <w:lastRenderedPageBreak/>
        <w:t xml:space="preserve">Option </w:t>
      </w:r>
      <w:r w:rsidR="00467C8E">
        <w:rPr>
          <w:color w:val="000000"/>
          <w:sz w:val="20"/>
          <w:szCs w:val="20"/>
          <w:lang w:val="en-US"/>
        </w:rPr>
        <w:t>1 a</w:t>
      </w:r>
      <w:r>
        <w:rPr>
          <w:color w:val="000000"/>
          <w:sz w:val="20"/>
          <w:szCs w:val="20"/>
          <w:lang w:val="en-US"/>
        </w:rPr>
        <w:t xml:space="preserve">nd Option 2 from the WF can </w:t>
      </w:r>
      <w:r w:rsidR="00155174">
        <w:rPr>
          <w:color w:val="000000"/>
          <w:sz w:val="20"/>
          <w:szCs w:val="20"/>
          <w:lang w:val="en-US"/>
        </w:rPr>
        <w:t>be agreed</w:t>
      </w:r>
      <w:r>
        <w:rPr>
          <w:color w:val="000000"/>
          <w:sz w:val="20"/>
          <w:szCs w:val="20"/>
          <w:lang w:val="en-US"/>
        </w:rPr>
        <w:t xml:space="preserve"> to resolve th</w:t>
      </w:r>
      <w:r w:rsidR="0098348A">
        <w:rPr>
          <w:color w:val="000000"/>
          <w:sz w:val="20"/>
          <w:szCs w:val="20"/>
          <w:lang w:val="en-US"/>
        </w:rPr>
        <w:t>is</w:t>
      </w:r>
      <w:r>
        <w:rPr>
          <w:color w:val="000000"/>
          <w:sz w:val="20"/>
          <w:szCs w:val="20"/>
          <w:lang w:val="en-US"/>
        </w:rPr>
        <w:t xml:space="preserve"> issue in the specification. Option 1 proposes to introduce an</w:t>
      </w:r>
      <w:r w:rsidR="00784D35">
        <w:rPr>
          <w:color w:val="000000"/>
          <w:sz w:val="20"/>
          <w:szCs w:val="20"/>
          <w:lang w:val="en-US"/>
        </w:rPr>
        <w:t xml:space="preserve"> in-gap </w:t>
      </w:r>
      <w:r>
        <w:rPr>
          <w:color w:val="000000"/>
          <w:sz w:val="20"/>
          <w:szCs w:val="20"/>
          <w:lang w:val="en-US"/>
        </w:rPr>
        <w:t>exemption</w:t>
      </w:r>
      <w:r w:rsidR="00784D35">
        <w:rPr>
          <w:color w:val="000000"/>
          <w:sz w:val="20"/>
          <w:szCs w:val="20"/>
          <w:lang w:val="en-US"/>
        </w:rPr>
        <w:t xml:space="preserve"> similar as in intra-band non-</w:t>
      </w:r>
      <w:r>
        <w:rPr>
          <w:color w:val="000000"/>
          <w:sz w:val="20"/>
          <w:szCs w:val="20"/>
          <w:lang w:val="en-US"/>
        </w:rPr>
        <w:t>contiguous</w:t>
      </w:r>
      <w:r w:rsidR="00784D35">
        <w:rPr>
          <w:color w:val="000000"/>
          <w:sz w:val="20"/>
          <w:szCs w:val="20"/>
          <w:lang w:val="en-US"/>
        </w:rPr>
        <w:t xml:space="preserve"> C</w:t>
      </w:r>
      <w:r>
        <w:rPr>
          <w:color w:val="000000"/>
          <w:sz w:val="20"/>
          <w:szCs w:val="20"/>
          <w:lang w:val="en-US"/>
        </w:rPr>
        <w:t>A</w:t>
      </w:r>
      <w:r w:rsidR="00467C8E">
        <w:rPr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  <w:lang w:val="en-US"/>
        </w:rPr>
        <w:t>for the ACS and IBB requirements</w:t>
      </w:r>
      <w:r w:rsidR="00467C8E">
        <w:rPr>
          <w:color w:val="000000"/>
          <w:sz w:val="20"/>
          <w:szCs w:val="20"/>
          <w:lang w:val="en-US"/>
        </w:rPr>
        <w:t xml:space="preserve">. </w:t>
      </w:r>
      <w:r w:rsidR="00D65726">
        <w:rPr>
          <w:color w:val="000000"/>
          <w:sz w:val="20"/>
          <w:szCs w:val="20"/>
          <w:lang w:val="en-US"/>
        </w:rPr>
        <w:t>The in-gap exemption is defined for</w:t>
      </w:r>
      <w:r>
        <w:rPr>
          <w:color w:val="000000"/>
          <w:sz w:val="20"/>
          <w:szCs w:val="20"/>
          <w:lang w:val="en-US"/>
        </w:rPr>
        <w:t xml:space="preserve"> </w:t>
      </w:r>
      <w:r>
        <w:rPr>
          <w:rFonts w:ascii="TimesNewRomanPSMT" w:hAnsi="TimesNewRomanPSMT"/>
          <w:sz w:val="20"/>
          <w:szCs w:val="20"/>
        </w:rPr>
        <w:t>intra-</w:t>
      </w:r>
      <w:r w:rsidRPr="00467C8E">
        <w:rPr>
          <w:rFonts w:ascii="TimesNewRomanPSMT" w:hAnsi="TimesNewRomanPSMT"/>
          <w:sz w:val="20"/>
          <w:szCs w:val="20"/>
          <w:lang w:val="en-GB"/>
        </w:rPr>
        <w:t>band non-contiguous carrier aggregation with two component carriers,</w:t>
      </w:r>
      <w:r w:rsidR="0098348A">
        <w:rPr>
          <w:rFonts w:ascii="TimesNewRomanPSMT" w:hAnsi="TimesNewRomanPSMT"/>
          <w:sz w:val="20"/>
          <w:szCs w:val="20"/>
          <w:lang w:val="en-GB"/>
        </w:rPr>
        <w:t xml:space="preserve"> such</w:t>
      </w:r>
      <w:r w:rsidR="00D65726">
        <w:rPr>
          <w:rFonts w:ascii="TimesNewRomanPSMT" w:hAnsi="TimesNewRomanPSMT"/>
          <w:sz w:val="20"/>
          <w:szCs w:val="20"/>
          <w:lang w:val="en-GB"/>
        </w:rPr>
        <w:t xml:space="preserve"> that</w:t>
      </w:r>
      <w:r w:rsidRPr="00467C8E">
        <w:rPr>
          <w:rFonts w:ascii="TimesNewRomanPSMT" w:hAnsi="TimesNewRomanPSMT"/>
          <w:sz w:val="20"/>
          <w:szCs w:val="20"/>
          <w:lang w:val="en-GB"/>
        </w:rPr>
        <w:t xml:space="preserve"> if the minimum gap condition is met, the UE shall meet the requirements specified in clauses</w:t>
      </w:r>
      <w:r>
        <w:rPr>
          <w:rFonts w:ascii="TimesNewRomanPSMT" w:hAnsi="TimesNewRomanPSMT"/>
          <w:sz w:val="20"/>
          <w:szCs w:val="20"/>
        </w:rPr>
        <w:t xml:space="preserve"> 7.5 for each component carrier considered. </w:t>
      </w:r>
      <w:r w:rsidR="00D65726" w:rsidRPr="00D65726">
        <w:rPr>
          <w:rFonts w:ascii="TimesNewRomanPSMT" w:hAnsi="TimesNewRomanPSMT"/>
          <w:sz w:val="20"/>
          <w:szCs w:val="20"/>
          <w:lang w:val="en-US"/>
        </w:rPr>
        <w:t xml:space="preserve">Therefore, </w:t>
      </w:r>
      <w:r w:rsidR="00467C8E">
        <w:rPr>
          <w:rFonts w:ascii="TimesNewRomanPSMT" w:hAnsi="TimesNewRomanPSMT"/>
          <w:sz w:val="20"/>
          <w:szCs w:val="20"/>
          <w:lang w:val="en-GB"/>
        </w:rPr>
        <w:t xml:space="preserve">ACS and IBB </w:t>
      </w:r>
      <w:r w:rsidR="00467C8E" w:rsidRPr="00467C8E">
        <w:rPr>
          <w:rFonts w:ascii="TimesNewRomanPSMT" w:hAnsi="TimesNewRomanPSMT"/>
          <w:sz w:val="20"/>
          <w:szCs w:val="20"/>
          <w:lang w:val="en-GB"/>
        </w:rPr>
        <w:t>requirement do</w:t>
      </w:r>
      <w:r w:rsidR="00D65726">
        <w:rPr>
          <w:rFonts w:ascii="TimesNewRomanPSMT" w:hAnsi="TimesNewRomanPSMT"/>
          <w:sz w:val="20"/>
          <w:szCs w:val="20"/>
          <w:lang w:val="en-GB"/>
        </w:rPr>
        <w:t xml:space="preserve"> </w:t>
      </w:r>
      <w:r w:rsidR="00467C8E" w:rsidRPr="00467C8E">
        <w:rPr>
          <w:rFonts w:ascii="TimesNewRomanPSMT" w:hAnsi="TimesNewRomanPSMT"/>
          <w:sz w:val="20"/>
          <w:szCs w:val="20"/>
          <w:lang w:val="en-GB"/>
        </w:rPr>
        <w:t xml:space="preserve">not apply, if </w:t>
      </w:r>
      <w:r w:rsidR="00467C8E">
        <w:rPr>
          <w:rFonts w:ascii="TimesNewRomanPSMT" w:hAnsi="TimesNewRomanPSMT"/>
          <w:sz w:val="20"/>
          <w:szCs w:val="20"/>
          <w:lang w:val="en-GB"/>
        </w:rPr>
        <w:t>the frequency</w:t>
      </w:r>
      <w:r w:rsidR="00467C8E" w:rsidRPr="00467C8E">
        <w:rPr>
          <w:rFonts w:ascii="TimesNewRomanPSMT" w:hAnsi="TimesNewRomanPSMT"/>
          <w:sz w:val="20"/>
          <w:szCs w:val="20"/>
          <w:lang w:val="en-GB"/>
        </w:rPr>
        <w:t xml:space="preserve"> separation </w:t>
      </w:r>
      <w:r w:rsidR="00467C8E">
        <w:rPr>
          <w:rFonts w:ascii="TimesNewRomanPSMT" w:hAnsi="TimesNewRomanPSMT"/>
          <w:sz w:val="20"/>
          <w:szCs w:val="20"/>
          <w:lang w:val="en-GB"/>
        </w:rPr>
        <w:t xml:space="preserve">of the CCs </w:t>
      </w:r>
      <w:r w:rsidR="00467C8E" w:rsidRPr="00467C8E">
        <w:rPr>
          <w:rFonts w:ascii="TimesNewRomanPSMT" w:hAnsi="TimesNewRomanPSMT"/>
          <w:sz w:val="20"/>
          <w:szCs w:val="20"/>
          <w:lang w:val="en-GB"/>
        </w:rPr>
        <w:t>is smaller than the minimum gap condition</w:t>
      </w:r>
      <w:r w:rsidR="00D65726">
        <w:rPr>
          <w:rFonts w:ascii="TimesNewRomanPSMT" w:hAnsi="TimesNewRomanPSMT"/>
          <w:sz w:val="20"/>
          <w:szCs w:val="20"/>
          <w:lang w:val="en-GB"/>
        </w:rPr>
        <w:t xml:space="preserve">. This statement is </w:t>
      </w:r>
      <w:r w:rsidR="0098348A">
        <w:rPr>
          <w:rFonts w:ascii="TimesNewRomanPSMT" w:hAnsi="TimesNewRomanPSMT"/>
          <w:sz w:val="20"/>
          <w:szCs w:val="20"/>
          <w:lang w:val="en-GB"/>
        </w:rPr>
        <w:t>similar</w:t>
      </w:r>
      <w:r w:rsidR="00D65726">
        <w:rPr>
          <w:rFonts w:ascii="TimesNewRomanPSMT" w:hAnsi="TimesNewRomanPSMT"/>
          <w:sz w:val="20"/>
          <w:szCs w:val="20"/>
          <w:lang w:val="en-GB"/>
        </w:rPr>
        <w:t xml:space="preserve"> as Option 2 “</w:t>
      </w:r>
      <w:r w:rsidR="00D65726" w:rsidRPr="00784D35">
        <w:rPr>
          <w:bCs/>
          <w:sz w:val="20"/>
          <w:szCs w:val="20"/>
          <w:lang w:eastAsia="zh-CN"/>
        </w:rPr>
        <w:t>The requirement does not apply if the interferer of the band being tested overlaps any part of the component carrier on the other band</w:t>
      </w:r>
      <w:r w:rsidR="00D65726">
        <w:rPr>
          <w:bCs/>
          <w:sz w:val="20"/>
          <w:szCs w:val="20"/>
          <w:lang w:val="en-US" w:eastAsia="zh-CN"/>
        </w:rPr>
        <w:t>”</w:t>
      </w:r>
    </w:p>
    <w:p w14:paraId="25EA9866" w14:textId="33E559EC" w:rsidR="00D65726" w:rsidRDefault="00D65726" w:rsidP="00D65726">
      <w:pPr>
        <w:rPr>
          <w:bCs/>
          <w:sz w:val="20"/>
          <w:szCs w:val="20"/>
          <w:lang w:val="en-US" w:eastAsia="zh-CN"/>
        </w:rPr>
      </w:pPr>
    </w:p>
    <w:p w14:paraId="7BCCFCD9" w14:textId="47A50743" w:rsidR="00D65726" w:rsidRPr="00A614CE" w:rsidRDefault="00D65726" w:rsidP="00D65726">
      <w:pPr>
        <w:rPr>
          <w:rFonts w:ascii="TimesNewRomanPSMT" w:hAnsi="TimesNewRomanPSMT"/>
          <w:sz w:val="20"/>
          <w:szCs w:val="20"/>
          <w:lang w:val="en-US"/>
        </w:rPr>
      </w:pPr>
      <w:r>
        <w:rPr>
          <w:rFonts w:ascii="TimesNewRomanPSMT" w:hAnsi="TimesNewRomanPSMT"/>
          <w:sz w:val="20"/>
          <w:szCs w:val="20"/>
          <w:lang w:val="en-GB"/>
        </w:rPr>
        <w:t>In our view, we propose to</w:t>
      </w:r>
      <w:r w:rsidRPr="00D65726">
        <w:rPr>
          <w:rFonts w:ascii="TimesNewRomanPSMT" w:hAnsi="TimesNewRomanPSMT"/>
          <w:sz w:val="20"/>
          <w:szCs w:val="20"/>
          <w:lang w:val="en-GB"/>
        </w:rPr>
        <w:t xml:space="preserve"> </w:t>
      </w:r>
      <w:r>
        <w:rPr>
          <w:rFonts w:ascii="TimesNewRomanPSMT" w:hAnsi="TimesNewRomanPSMT"/>
          <w:sz w:val="20"/>
          <w:szCs w:val="20"/>
          <w:lang w:val="en-GB"/>
        </w:rPr>
        <w:t xml:space="preserve">apply </w:t>
      </w:r>
      <w:r w:rsidRPr="00D65726">
        <w:rPr>
          <w:rFonts w:ascii="TimesNewRomanPSMT" w:hAnsi="TimesNewRomanPSMT"/>
          <w:sz w:val="20"/>
          <w:szCs w:val="20"/>
          <w:lang w:val="en-GB"/>
        </w:rPr>
        <w:t>in-gap exemption for requirements of ACS and IBB for inter-band CA with</w:t>
      </w:r>
      <w:r w:rsidR="0098348A">
        <w:rPr>
          <w:rFonts w:ascii="TimesNewRomanPSMT" w:hAnsi="TimesNewRomanPSMT"/>
          <w:sz w:val="20"/>
          <w:szCs w:val="20"/>
          <w:lang w:val="en-GB"/>
        </w:rPr>
        <w:t xml:space="preserve"> </w:t>
      </w:r>
      <w:r w:rsidRPr="00D65726">
        <w:rPr>
          <w:rFonts w:ascii="TimesNewRomanPSMT" w:hAnsi="TimesNewRomanPSMT"/>
          <w:sz w:val="20"/>
          <w:szCs w:val="20"/>
          <w:lang w:val="en-GB"/>
        </w:rPr>
        <w:t>band n258</w:t>
      </w:r>
      <w:r w:rsidR="0098348A">
        <w:rPr>
          <w:rFonts w:ascii="TimesNewRomanPSMT" w:hAnsi="TimesNewRomanPSMT"/>
          <w:sz w:val="20"/>
          <w:szCs w:val="20"/>
          <w:lang w:val="en-GB"/>
        </w:rPr>
        <w:t xml:space="preserve"> and </w:t>
      </w:r>
      <w:r w:rsidRPr="00D65726">
        <w:rPr>
          <w:rFonts w:ascii="TimesNewRomanPSMT" w:hAnsi="TimesNewRomanPSMT"/>
          <w:sz w:val="20"/>
          <w:szCs w:val="20"/>
          <w:lang w:val="en-GB"/>
        </w:rPr>
        <w:t xml:space="preserve">band n261, similar as defined for intra-band </w:t>
      </w:r>
      <w:r>
        <w:rPr>
          <w:rFonts w:ascii="TimesNewRomanPSMT" w:hAnsi="TimesNewRomanPSMT"/>
          <w:sz w:val="20"/>
          <w:szCs w:val="20"/>
          <w:lang w:val="en-GB"/>
        </w:rPr>
        <w:t xml:space="preserve">non-contiguous </w:t>
      </w:r>
      <w:r w:rsidRPr="00D65726">
        <w:rPr>
          <w:rFonts w:ascii="TimesNewRomanPSMT" w:hAnsi="TimesNewRomanPSMT"/>
          <w:sz w:val="20"/>
          <w:szCs w:val="20"/>
          <w:lang w:val="en-GB"/>
        </w:rPr>
        <w:t>CA in FR2</w:t>
      </w:r>
      <w:r>
        <w:rPr>
          <w:rFonts w:ascii="TimesNewRomanPSMT" w:hAnsi="TimesNewRomanPSMT"/>
          <w:sz w:val="20"/>
          <w:szCs w:val="20"/>
          <w:lang w:val="en-GB"/>
        </w:rPr>
        <w:t xml:space="preserve">, </w:t>
      </w:r>
      <w:r w:rsidR="0098348A">
        <w:rPr>
          <w:rFonts w:ascii="TimesNewRomanPSMT" w:hAnsi="TimesNewRomanPSMT"/>
          <w:sz w:val="20"/>
          <w:szCs w:val="20"/>
          <w:lang w:val="en-GB"/>
        </w:rPr>
        <w:t xml:space="preserve">and to include </w:t>
      </w:r>
      <w:r>
        <w:rPr>
          <w:rFonts w:ascii="TimesNewRomanPSMT" w:hAnsi="TimesNewRomanPSMT"/>
          <w:sz w:val="20"/>
          <w:szCs w:val="20"/>
          <w:lang w:val="en-GB"/>
        </w:rPr>
        <w:t xml:space="preserve">the clarification that the </w:t>
      </w:r>
      <w:r w:rsidRPr="00784D35">
        <w:rPr>
          <w:bCs/>
          <w:sz w:val="20"/>
          <w:szCs w:val="20"/>
          <w:lang w:eastAsia="zh-CN"/>
        </w:rPr>
        <w:t>requirement</w:t>
      </w:r>
      <w:r w:rsidRPr="00D65726">
        <w:rPr>
          <w:bCs/>
          <w:sz w:val="20"/>
          <w:szCs w:val="20"/>
          <w:lang w:val="en-US" w:eastAsia="zh-CN"/>
        </w:rPr>
        <w:t xml:space="preserve">s </w:t>
      </w:r>
      <w:r w:rsidRPr="00784D35">
        <w:rPr>
          <w:bCs/>
          <w:sz w:val="20"/>
          <w:szCs w:val="20"/>
          <w:lang w:eastAsia="zh-CN"/>
        </w:rPr>
        <w:t>do not apply</w:t>
      </w:r>
      <w:r w:rsidRPr="00D65726">
        <w:rPr>
          <w:bCs/>
          <w:sz w:val="20"/>
          <w:szCs w:val="20"/>
          <w:lang w:val="en-US" w:eastAsia="zh-CN"/>
        </w:rPr>
        <w:t>,</w:t>
      </w:r>
      <w:r w:rsidRPr="00784D35">
        <w:rPr>
          <w:bCs/>
          <w:sz w:val="20"/>
          <w:szCs w:val="20"/>
          <w:lang w:eastAsia="zh-CN"/>
        </w:rPr>
        <w:t xml:space="preserve"> if the interferer of the band being tested overlaps any part of the component carrier on the other band</w:t>
      </w:r>
      <w:r w:rsidR="00A614CE" w:rsidRPr="00A614CE">
        <w:rPr>
          <w:bCs/>
          <w:sz w:val="20"/>
          <w:szCs w:val="20"/>
          <w:lang w:val="en-US" w:eastAsia="zh-CN"/>
        </w:rPr>
        <w:t>.</w:t>
      </w:r>
    </w:p>
    <w:p w14:paraId="0F79E539" w14:textId="77777777" w:rsidR="00482C77" w:rsidRPr="00482C77" w:rsidRDefault="00482C77" w:rsidP="00482C77">
      <w:pPr>
        <w:pStyle w:val="NormalWeb"/>
        <w:rPr>
          <w:color w:val="000000" w:themeColor="text1"/>
          <w:sz w:val="20"/>
          <w:szCs w:val="20"/>
          <w:lang w:val="en-US"/>
        </w:rPr>
      </w:pPr>
    </w:p>
    <w:p w14:paraId="3F855A59" w14:textId="16D6C73B" w:rsidR="00586701" w:rsidRDefault="00586701" w:rsidP="00586701">
      <w:pPr>
        <w:pStyle w:val="Proposal"/>
      </w:pPr>
      <w:r>
        <w:t xml:space="preserve">Proposal </w:t>
      </w:r>
      <w:r w:rsidR="00482C77">
        <w:t>1</w:t>
      </w:r>
      <w:r>
        <w:t>:</w:t>
      </w:r>
      <w:r>
        <w:tab/>
        <w:t xml:space="preserve">RAN4 shall </w:t>
      </w:r>
      <w:r w:rsidR="00D65726">
        <w:t>introduce in-gap exemption for ACS and IBB inter-band for CA_n258-n261. The requirement</w:t>
      </w:r>
      <w:r w:rsidR="0009461A">
        <w:t>s</w:t>
      </w:r>
      <w:r w:rsidR="00D65726">
        <w:t xml:space="preserve"> shall include clarification that the requirement do not apply, if the interferer of the band being tested overlaps any part of the CC on the other band.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59D5350" w14:textId="77777777" w:rsidR="0098348A" w:rsidRPr="00784D35" w:rsidRDefault="0098348A" w:rsidP="0098348A">
      <w:pPr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lang w:val="en-US"/>
        </w:rPr>
        <w:t>In this contribution, we share our position on the introduction of in-gap exemption for CA_n258-n261.</w:t>
      </w:r>
    </w:p>
    <w:p w14:paraId="4BEC8C14" w14:textId="3AB67B19" w:rsidR="00D65726" w:rsidRDefault="00ED2416" w:rsidP="00D65726">
      <w:pPr>
        <w:rPr>
          <w:sz w:val="20"/>
          <w:szCs w:val="20"/>
          <w:lang w:eastAsia="zh-CN"/>
        </w:rPr>
      </w:pPr>
      <w:r w:rsidRPr="007D3BE5">
        <w:rPr>
          <w:sz w:val="20"/>
          <w:szCs w:val="20"/>
          <w:lang w:eastAsia="zh-CN"/>
        </w:rPr>
        <w:t>In summary, we have made</w:t>
      </w:r>
      <w:r w:rsidR="00567765" w:rsidRPr="007D3BE5">
        <w:rPr>
          <w:sz w:val="20"/>
          <w:szCs w:val="20"/>
          <w:lang w:val="en-US" w:eastAsia="zh-CN"/>
        </w:rPr>
        <w:t xml:space="preserve"> the</w:t>
      </w:r>
      <w:r w:rsidRPr="007D3BE5">
        <w:rPr>
          <w:sz w:val="20"/>
          <w:szCs w:val="20"/>
          <w:lang w:eastAsia="zh-CN"/>
        </w:rPr>
        <w:t xml:space="preserve"> following proposal.</w:t>
      </w:r>
    </w:p>
    <w:p w14:paraId="3795B185" w14:textId="77777777" w:rsidR="00D65726" w:rsidRPr="00D65726" w:rsidRDefault="00D65726" w:rsidP="00D65726">
      <w:pPr>
        <w:rPr>
          <w:sz w:val="20"/>
          <w:szCs w:val="20"/>
          <w:lang w:eastAsia="zh-CN"/>
        </w:rPr>
      </w:pPr>
    </w:p>
    <w:p w14:paraId="4CC6B002" w14:textId="48A5EA84" w:rsidR="00D65726" w:rsidRDefault="00D65726" w:rsidP="00D65726">
      <w:pPr>
        <w:pStyle w:val="Proposal"/>
      </w:pPr>
      <w:r>
        <w:t>Proposal 1:</w:t>
      </w:r>
      <w:r>
        <w:tab/>
        <w:t>RAN4 shall introduce in-gap exemption for ACS and IBB inter-band for CA_n258-n261. The requirement</w:t>
      </w:r>
      <w:r w:rsidR="0009461A">
        <w:t>s</w:t>
      </w:r>
      <w:r>
        <w:t xml:space="preserve"> shall include clarification that the requirement do not apply, if the interferer of the band being tested overlaps any part of the CC on the other band.</w:t>
      </w:r>
    </w:p>
    <w:p w14:paraId="4E5FC9C0" w14:textId="36618F57" w:rsidR="00F82A53" w:rsidRDefault="00F82A53" w:rsidP="00F82A53">
      <w:pPr>
        <w:pStyle w:val="Heading1"/>
      </w:pPr>
      <w:r>
        <w:t>4</w:t>
      </w:r>
      <w:r>
        <w:tab/>
        <w:t>References</w:t>
      </w:r>
    </w:p>
    <w:bookmarkEnd w:id="0"/>
    <w:p w14:paraId="6AEDAB0E" w14:textId="5D86806E" w:rsidR="00D65726" w:rsidRDefault="00D65726">
      <w:pPr>
        <w:pStyle w:val="EX"/>
        <w:rPr>
          <w:rFonts w:eastAsia="DengXian"/>
        </w:rPr>
      </w:pPr>
      <w:r w:rsidRPr="009B04B4">
        <w:rPr>
          <w:rFonts w:eastAsia="DengXian"/>
        </w:rPr>
        <w:t>R4-22</w:t>
      </w:r>
      <w:r>
        <w:rPr>
          <w:rFonts w:eastAsia="DengXian"/>
        </w:rPr>
        <w:t>14416</w:t>
      </w:r>
      <w:r w:rsidRPr="009B04B4">
        <w:rPr>
          <w:rFonts w:eastAsia="DengXian"/>
        </w:rPr>
        <w:t xml:space="preserve">, </w:t>
      </w:r>
      <w:r>
        <w:rPr>
          <w:rFonts w:eastAsia="DengXian"/>
        </w:rPr>
        <w:t>“WF on in-gap exemption for inter-band DL CA”, Vivo</w:t>
      </w:r>
      <w:r w:rsidR="00C6403B">
        <w:rPr>
          <w:rFonts w:eastAsia="DengXian"/>
        </w:rPr>
        <w:t>, RAN4 #104-e</w:t>
      </w:r>
    </w:p>
    <w:p w14:paraId="2F44D990" w14:textId="7CBFFF60" w:rsidR="00C6403B" w:rsidRDefault="00C6403B">
      <w:pPr>
        <w:pStyle w:val="EX"/>
        <w:rPr>
          <w:rFonts w:eastAsia="DengXian"/>
        </w:rPr>
      </w:pPr>
      <w:r w:rsidRPr="009B04B4">
        <w:rPr>
          <w:rFonts w:eastAsia="DengXian"/>
        </w:rPr>
        <w:t>R4-22</w:t>
      </w:r>
      <w:r>
        <w:rPr>
          <w:rFonts w:eastAsia="DengXian"/>
        </w:rPr>
        <w:t>12793</w:t>
      </w:r>
      <w:r w:rsidRPr="009B04B4">
        <w:rPr>
          <w:rFonts w:eastAsia="DengXian"/>
        </w:rPr>
        <w:t xml:space="preserve">, </w:t>
      </w:r>
      <w:r>
        <w:rPr>
          <w:rFonts w:eastAsia="DengXian"/>
        </w:rPr>
        <w:t>“</w:t>
      </w:r>
      <w:r w:rsidRPr="00C6403B">
        <w:rPr>
          <w:rFonts w:eastAsia="DengXian"/>
        </w:rPr>
        <w:t>Discussion on in-gap exemption for inter-band DL CA</w:t>
      </w:r>
      <w:r>
        <w:rPr>
          <w:rFonts w:eastAsia="DengXian"/>
        </w:rPr>
        <w:t>”, Vivo, RAN4 #104-e</w:t>
      </w:r>
    </w:p>
    <w:p w14:paraId="24C346DF" w14:textId="2B14FFD8" w:rsidR="005651A1" w:rsidRPr="007A789C" w:rsidRDefault="005651A1">
      <w:pPr>
        <w:pStyle w:val="EX"/>
      </w:pP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101-2 V17.</w:t>
      </w:r>
      <w:r w:rsidR="009B4BF0">
        <w:t>5</w:t>
      </w:r>
      <w:r>
        <w:t>.0</w:t>
      </w:r>
    </w:p>
    <w:p w14:paraId="4071FF70" w14:textId="77777777" w:rsidR="005651A1" w:rsidRPr="007A789C" w:rsidRDefault="005651A1" w:rsidP="005651A1">
      <w:pPr>
        <w:pStyle w:val="EX"/>
        <w:numPr>
          <w:ilvl w:val="0"/>
          <w:numId w:val="0"/>
        </w:numPr>
        <w:ind w:left="369"/>
      </w:pPr>
    </w:p>
    <w:sectPr w:rsidR="005651A1" w:rsidRPr="007A789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BB69" w14:textId="77777777" w:rsidR="00F94034" w:rsidRDefault="00F94034">
      <w:r>
        <w:separator/>
      </w:r>
    </w:p>
  </w:endnote>
  <w:endnote w:type="continuationSeparator" w:id="0">
    <w:p w14:paraId="69AEB5E4" w14:textId="77777777" w:rsidR="00F94034" w:rsidRDefault="00F9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99346" w14:textId="77777777" w:rsidR="00F94034" w:rsidRDefault="00F94034">
      <w:r>
        <w:separator/>
      </w:r>
    </w:p>
  </w:footnote>
  <w:footnote w:type="continuationSeparator" w:id="0">
    <w:p w14:paraId="02A62FD5" w14:textId="77777777" w:rsidR="00F94034" w:rsidRDefault="00F9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C6B8E"/>
    <w:multiLevelType w:val="hybridMultilevel"/>
    <w:tmpl w:val="33B8AA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8597582">
    <w:abstractNumId w:val="0"/>
  </w:num>
  <w:num w:numId="2" w16cid:durableId="60634786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4382"/>
    <w:rsid w:val="000253BC"/>
    <w:rsid w:val="00027C9D"/>
    <w:rsid w:val="00033397"/>
    <w:rsid w:val="00034EA1"/>
    <w:rsid w:val="00036D1D"/>
    <w:rsid w:val="00040095"/>
    <w:rsid w:val="00051834"/>
    <w:rsid w:val="0005379C"/>
    <w:rsid w:val="00054A22"/>
    <w:rsid w:val="00062023"/>
    <w:rsid w:val="00063D41"/>
    <w:rsid w:val="000655A6"/>
    <w:rsid w:val="00074AF3"/>
    <w:rsid w:val="00080512"/>
    <w:rsid w:val="0009461A"/>
    <w:rsid w:val="000A365D"/>
    <w:rsid w:val="000A4128"/>
    <w:rsid w:val="000A6409"/>
    <w:rsid w:val="000A68F3"/>
    <w:rsid w:val="000B49E9"/>
    <w:rsid w:val="000C04F5"/>
    <w:rsid w:val="000C0618"/>
    <w:rsid w:val="000C47C3"/>
    <w:rsid w:val="000C5E21"/>
    <w:rsid w:val="000D58AB"/>
    <w:rsid w:val="000F255F"/>
    <w:rsid w:val="000F3A6A"/>
    <w:rsid w:val="0010065C"/>
    <w:rsid w:val="00104BC6"/>
    <w:rsid w:val="00107D41"/>
    <w:rsid w:val="00111D8A"/>
    <w:rsid w:val="00114300"/>
    <w:rsid w:val="00114C7B"/>
    <w:rsid w:val="00114C9B"/>
    <w:rsid w:val="00114E2C"/>
    <w:rsid w:val="00116A77"/>
    <w:rsid w:val="00127DAC"/>
    <w:rsid w:val="00133525"/>
    <w:rsid w:val="00155174"/>
    <w:rsid w:val="0016659F"/>
    <w:rsid w:val="00173D3F"/>
    <w:rsid w:val="00187FC3"/>
    <w:rsid w:val="001974A5"/>
    <w:rsid w:val="001A233A"/>
    <w:rsid w:val="001A4C42"/>
    <w:rsid w:val="001A5C3B"/>
    <w:rsid w:val="001B5E74"/>
    <w:rsid w:val="001B6CD0"/>
    <w:rsid w:val="001C21C3"/>
    <w:rsid w:val="001D02C2"/>
    <w:rsid w:val="001D491A"/>
    <w:rsid w:val="001E644D"/>
    <w:rsid w:val="001F09E2"/>
    <w:rsid w:val="001F0C1D"/>
    <w:rsid w:val="001F1132"/>
    <w:rsid w:val="001F168B"/>
    <w:rsid w:val="001F3BF1"/>
    <w:rsid w:val="00204102"/>
    <w:rsid w:val="0021021F"/>
    <w:rsid w:val="0022017B"/>
    <w:rsid w:val="0022228A"/>
    <w:rsid w:val="0022656C"/>
    <w:rsid w:val="002347A2"/>
    <w:rsid w:val="002409A7"/>
    <w:rsid w:val="00247926"/>
    <w:rsid w:val="00253722"/>
    <w:rsid w:val="00264C5D"/>
    <w:rsid w:val="002675F0"/>
    <w:rsid w:val="00276EE4"/>
    <w:rsid w:val="00284BB5"/>
    <w:rsid w:val="0029139E"/>
    <w:rsid w:val="002A4AB3"/>
    <w:rsid w:val="002B6339"/>
    <w:rsid w:val="002B7E71"/>
    <w:rsid w:val="002C37CE"/>
    <w:rsid w:val="002C6647"/>
    <w:rsid w:val="002C75A1"/>
    <w:rsid w:val="002E00EE"/>
    <w:rsid w:val="002E2F47"/>
    <w:rsid w:val="002E5BCE"/>
    <w:rsid w:val="002E61E0"/>
    <w:rsid w:val="002F580D"/>
    <w:rsid w:val="002F7DF0"/>
    <w:rsid w:val="003068EC"/>
    <w:rsid w:val="0031085D"/>
    <w:rsid w:val="003172DC"/>
    <w:rsid w:val="00320AAA"/>
    <w:rsid w:val="00320B6A"/>
    <w:rsid w:val="0032493C"/>
    <w:rsid w:val="00332127"/>
    <w:rsid w:val="003324F5"/>
    <w:rsid w:val="0034052F"/>
    <w:rsid w:val="00342646"/>
    <w:rsid w:val="00345BD4"/>
    <w:rsid w:val="00345E06"/>
    <w:rsid w:val="0035462D"/>
    <w:rsid w:val="003677AD"/>
    <w:rsid w:val="003712C6"/>
    <w:rsid w:val="003765B8"/>
    <w:rsid w:val="003774A7"/>
    <w:rsid w:val="003A0483"/>
    <w:rsid w:val="003C0DD3"/>
    <w:rsid w:val="003C3971"/>
    <w:rsid w:val="003D6DFD"/>
    <w:rsid w:val="003E2DAE"/>
    <w:rsid w:val="003E4E30"/>
    <w:rsid w:val="003E7753"/>
    <w:rsid w:val="003F0D33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530C"/>
    <w:rsid w:val="004679D1"/>
    <w:rsid w:val="00467C8E"/>
    <w:rsid w:val="00473181"/>
    <w:rsid w:val="0047407F"/>
    <w:rsid w:val="00481321"/>
    <w:rsid w:val="004826A9"/>
    <w:rsid w:val="00482C77"/>
    <w:rsid w:val="004861DC"/>
    <w:rsid w:val="00494445"/>
    <w:rsid w:val="00496946"/>
    <w:rsid w:val="004A636C"/>
    <w:rsid w:val="004C1601"/>
    <w:rsid w:val="004D3578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3388B"/>
    <w:rsid w:val="00535773"/>
    <w:rsid w:val="00543C25"/>
    <w:rsid w:val="00543E6C"/>
    <w:rsid w:val="005509FF"/>
    <w:rsid w:val="00562942"/>
    <w:rsid w:val="00562E96"/>
    <w:rsid w:val="0056336D"/>
    <w:rsid w:val="00565087"/>
    <w:rsid w:val="005651A1"/>
    <w:rsid w:val="00566A63"/>
    <w:rsid w:val="00567765"/>
    <w:rsid w:val="00572E14"/>
    <w:rsid w:val="00586701"/>
    <w:rsid w:val="00587171"/>
    <w:rsid w:val="0059156D"/>
    <w:rsid w:val="005921F8"/>
    <w:rsid w:val="00594F57"/>
    <w:rsid w:val="005973BE"/>
    <w:rsid w:val="005976D1"/>
    <w:rsid w:val="005A3127"/>
    <w:rsid w:val="005A5986"/>
    <w:rsid w:val="005B3D13"/>
    <w:rsid w:val="005C5D86"/>
    <w:rsid w:val="005C7DF2"/>
    <w:rsid w:val="005D2E01"/>
    <w:rsid w:val="005D7526"/>
    <w:rsid w:val="005D7F26"/>
    <w:rsid w:val="005E0DC0"/>
    <w:rsid w:val="005E64E4"/>
    <w:rsid w:val="005E69AE"/>
    <w:rsid w:val="005E6E2B"/>
    <w:rsid w:val="005F1BB3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246A7"/>
    <w:rsid w:val="0062595A"/>
    <w:rsid w:val="0063543D"/>
    <w:rsid w:val="00636000"/>
    <w:rsid w:val="00640909"/>
    <w:rsid w:val="00640A0F"/>
    <w:rsid w:val="00641AE8"/>
    <w:rsid w:val="00647114"/>
    <w:rsid w:val="006527A4"/>
    <w:rsid w:val="00664C6D"/>
    <w:rsid w:val="00672845"/>
    <w:rsid w:val="0067691D"/>
    <w:rsid w:val="006808DC"/>
    <w:rsid w:val="0069083A"/>
    <w:rsid w:val="006913B3"/>
    <w:rsid w:val="00695D25"/>
    <w:rsid w:val="006A323F"/>
    <w:rsid w:val="006A6B0C"/>
    <w:rsid w:val="006A72DB"/>
    <w:rsid w:val="006B190C"/>
    <w:rsid w:val="006B30D0"/>
    <w:rsid w:val="006C1ECB"/>
    <w:rsid w:val="006C3D95"/>
    <w:rsid w:val="006C6705"/>
    <w:rsid w:val="006D38D0"/>
    <w:rsid w:val="006E25D1"/>
    <w:rsid w:val="006E3646"/>
    <w:rsid w:val="006E5C86"/>
    <w:rsid w:val="006F45F5"/>
    <w:rsid w:val="00713C44"/>
    <w:rsid w:val="00725398"/>
    <w:rsid w:val="00732C5F"/>
    <w:rsid w:val="00734A5B"/>
    <w:rsid w:val="00734AB7"/>
    <w:rsid w:val="00737475"/>
    <w:rsid w:val="0074026F"/>
    <w:rsid w:val="007429F6"/>
    <w:rsid w:val="00744E76"/>
    <w:rsid w:val="007457E2"/>
    <w:rsid w:val="00750225"/>
    <w:rsid w:val="00752198"/>
    <w:rsid w:val="00753881"/>
    <w:rsid w:val="00754119"/>
    <w:rsid w:val="00757624"/>
    <w:rsid w:val="00762677"/>
    <w:rsid w:val="00774DA4"/>
    <w:rsid w:val="00777353"/>
    <w:rsid w:val="00781F0F"/>
    <w:rsid w:val="00783690"/>
    <w:rsid w:val="00784D35"/>
    <w:rsid w:val="00794ABC"/>
    <w:rsid w:val="00795C9D"/>
    <w:rsid w:val="007A789C"/>
    <w:rsid w:val="007B600E"/>
    <w:rsid w:val="007C62F4"/>
    <w:rsid w:val="007D3BE5"/>
    <w:rsid w:val="007D5DF1"/>
    <w:rsid w:val="007F0F4A"/>
    <w:rsid w:val="007F3BEB"/>
    <w:rsid w:val="007F4CF9"/>
    <w:rsid w:val="007F6F86"/>
    <w:rsid w:val="00800AA4"/>
    <w:rsid w:val="008028A4"/>
    <w:rsid w:val="00806234"/>
    <w:rsid w:val="00811331"/>
    <w:rsid w:val="00815060"/>
    <w:rsid w:val="00820B25"/>
    <w:rsid w:val="00827285"/>
    <w:rsid w:val="00830747"/>
    <w:rsid w:val="008317A8"/>
    <w:rsid w:val="00847B1B"/>
    <w:rsid w:val="00867158"/>
    <w:rsid w:val="008768CA"/>
    <w:rsid w:val="00877A30"/>
    <w:rsid w:val="00884741"/>
    <w:rsid w:val="00884D62"/>
    <w:rsid w:val="0089633C"/>
    <w:rsid w:val="008A5270"/>
    <w:rsid w:val="008B6C87"/>
    <w:rsid w:val="008B709D"/>
    <w:rsid w:val="008C384C"/>
    <w:rsid w:val="008C494B"/>
    <w:rsid w:val="008D543A"/>
    <w:rsid w:val="008D7587"/>
    <w:rsid w:val="008D7FE6"/>
    <w:rsid w:val="008E7986"/>
    <w:rsid w:val="008F1951"/>
    <w:rsid w:val="008F464F"/>
    <w:rsid w:val="008F5FF0"/>
    <w:rsid w:val="0090271F"/>
    <w:rsid w:val="00902E23"/>
    <w:rsid w:val="00910537"/>
    <w:rsid w:val="009114D7"/>
    <w:rsid w:val="0091348E"/>
    <w:rsid w:val="00917CCB"/>
    <w:rsid w:val="00931077"/>
    <w:rsid w:val="00942EC2"/>
    <w:rsid w:val="00950109"/>
    <w:rsid w:val="00961FAE"/>
    <w:rsid w:val="00970ECC"/>
    <w:rsid w:val="00972574"/>
    <w:rsid w:val="0098149A"/>
    <w:rsid w:val="0098348A"/>
    <w:rsid w:val="009A25E9"/>
    <w:rsid w:val="009B4BF0"/>
    <w:rsid w:val="009B5E4F"/>
    <w:rsid w:val="009C1F6B"/>
    <w:rsid w:val="009C3E7B"/>
    <w:rsid w:val="009D5A49"/>
    <w:rsid w:val="009D74AF"/>
    <w:rsid w:val="009E4D0C"/>
    <w:rsid w:val="009E7988"/>
    <w:rsid w:val="009E7FCF"/>
    <w:rsid w:val="009F092A"/>
    <w:rsid w:val="009F37B7"/>
    <w:rsid w:val="009F5E43"/>
    <w:rsid w:val="009F649B"/>
    <w:rsid w:val="009F75C7"/>
    <w:rsid w:val="00A00485"/>
    <w:rsid w:val="00A05F56"/>
    <w:rsid w:val="00A10F02"/>
    <w:rsid w:val="00A14BFA"/>
    <w:rsid w:val="00A164B4"/>
    <w:rsid w:val="00A26956"/>
    <w:rsid w:val="00A357C9"/>
    <w:rsid w:val="00A41A8C"/>
    <w:rsid w:val="00A43D95"/>
    <w:rsid w:val="00A47653"/>
    <w:rsid w:val="00A53724"/>
    <w:rsid w:val="00A614CE"/>
    <w:rsid w:val="00A61916"/>
    <w:rsid w:val="00A622AB"/>
    <w:rsid w:val="00A67861"/>
    <w:rsid w:val="00A73129"/>
    <w:rsid w:val="00A74853"/>
    <w:rsid w:val="00A80607"/>
    <w:rsid w:val="00A82346"/>
    <w:rsid w:val="00A92BA1"/>
    <w:rsid w:val="00AA37B0"/>
    <w:rsid w:val="00AA437A"/>
    <w:rsid w:val="00AB2E64"/>
    <w:rsid w:val="00AB31F5"/>
    <w:rsid w:val="00AB45F2"/>
    <w:rsid w:val="00AB67B9"/>
    <w:rsid w:val="00AC461E"/>
    <w:rsid w:val="00AC6BC6"/>
    <w:rsid w:val="00AE3797"/>
    <w:rsid w:val="00AF2162"/>
    <w:rsid w:val="00AF35C3"/>
    <w:rsid w:val="00AF66E8"/>
    <w:rsid w:val="00B07FFE"/>
    <w:rsid w:val="00B15449"/>
    <w:rsid w:val="00B24689"/>
    <w:rsid w:val="00B272BA"/>
    <w:rsid w:val="00B35399"/>
    <w:rsid w:val="00B40992"/>
    <w:rsid w:val="00B81ACB"/>
    <w:rsid w:val="00B81B92"/>
    <w:rsid w:val="00B85465"/>
    <w:rsid w:val="00B91498"/>
    <w:rsid w:val="00B9224F"/>
    <w:rsid w:val="00B93086"/>
    <w:rsid w:val="00BA19ED"/>
    <w:rsid w:val="00BA26B9"/>
    <w:rsid w:val="00BA2787"/>
    <w:rsid w:val="00BA300B"/>
    <w:rsid w:val="00BA4B8D"/>
    <w:rsid w:val="00BB1ED8"/>
    <w:rsid w:val="00BB2E58"/>
    <w:rsid w:val="00BC0F7D"/>
    <w:rsid w:val="00BC288B"/>
    <w:rsid w:val="00BC4873"/>
    <w:rsid w:val="00BD224C"/>
    <w:rsid w:val="00BE3255"/>
    <w:rsid w:val="00BF128E"/>
    <w:rsid w:val="00BF2874"/>
    <w:rsid w:val="00BF750A"/>
    <w:rsid w:val="00C12B51"/>
    <w:rsid w:val="00C1496A"/>
    <w:rsid w:val="00C24A70"/>
    <w:rsid w:val="00C33079"/>
    <w:rsid w:val="00C4509D"/>
    <w:rsid w:val="00C45231"/>
    <w:rsid w:val="00C522C9"/>
    <w:rsid w:val="00C6251E"/>
    <w:rsid w:val="00C6403B"/>
    <w:rsid w:val="00C7031C"/>
    <w:rsid w:val="00C72833"/>
    <w:rsid w:val="00C737BF"/>
    <w:rsid w:val="00C76898"/>
    <w:rsid w:val="00C80F1D"/>
    <w:rsid w:val="00C827F9"/>
    <w:rsid w:val="00C900B8"/>
    <w:rsid w:val="00C93F40"/>
    <w:rsid w:val="00CA062F"/>
    <w:rsid w:val="00CA3D0C"/>
    <w:rsid w:val="00CA4C48"/>
    <w:rsid w:val="00CB6512"/>
    <w:rsid w:val="00CB756D"/>
    <w:rsid w:val="00CC1807"/>
    <w:rsid w:val="00CC20D1"/>
    <w:rsid w:val="00CD1256"/>
    <w:rsid w:val="00CD25CF"/>
    <w:rsid w:val="00CE46CD"/>
    <w:rsid w:val="00CE59F7"/>
    <w:rsid w:val="00CF20E3"/>
    <w:rsid w:val="00D1282A"/>
    <w:rsid w:val="00D26890"/>
    <w:rsid w:val="00D26CBB"/>
    <w:rsid w:val="00D309CC"/>
    <w:rsid w:val="00D4439B"/>
    <w:rsid w:val="00D46431"/>
    <w:rsid w:val="00D4726A"/>
    <w:rsid w:val="00D55A42"/>
    <w:rsid w:val="00D56A52"/>
    <w:rsid w:val="00D57972"/>
    <w:rsid w:val="00D60EA5"/>
    <w:rsid w:val="00D63693"/>
    <w:rsid w:val="00D65726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7A03"/>
    <w:rsid w:val="00DB1818"/>
    <w:rsid w:val="00DB70E5"/>
    <w:rsid w:val="00DC0BC2"/>
    <w:rsid w:val="00DC309B"/>
    <w:rsid w:val="00DC4DA2"/>
    <w:rsid w:val="00DC555E"/>
    <w:rsid w:val="00DD46E4"/>
    <w:rsid w:val="00DD4C17"/>
    <w:rsid w:val="00DE0886"/>
    <w:rsid w:val="00DF2B1F"/>
    <w:rsid w:val="00DF6189"/>
    <w:rsid w:val="00DF62CD"/>
    <w:rsid w:val="00DF754D"/>
    <w:rsid w:val="00E03E1A"/>
    <w:rsid w:val="00E164BB"/>
    <w:rsid w:val="00E16509"/>
    <w:rsid w:val="00E30003"/>
    <w:rsid w:val="00E44582"/>
    <w:rsid w:val="00E476BE"/>
    <w:rsid w:val="00E52814"/>
    <w:rsid w:val="00E52BB4"/>
    <w:rsid w:val="00E6650A"/>
    <w:rsid w:val="00E72324"/>
    <w:rsid w:val="00E72ABE"/>
    <w:rsid w:val="00E732A1"/>
    <w:rsid w:val="00E75F32"/>
    <w:rsid w:val="00E77645"/>
    <w:rsid w:val="00E97976"/>
    <w:rsid w:val="00EA24F9"/>
    <w:rsid w:val="00EA4051"/>
    <w:rsid w:val="00EA5922"/>
    <w:rsid w:val="00EB13A6"/>
    <w:rsid w:val="00EB2B6D"/>
    <w:rsid w:val="00EB7D89"/>
    <w:rsid w:val="00EC3D07"/>
    <w:rsid w:val="00EC4847"/>
    <w:rsid w:val="00EC4A25"/>
    <w:rsid w:val="00ED2416"/>
    <w:rsid w:val="00EE122C"/>
    <w:rsid w:val="00EE424A"/>
    <w:rsid w:val="00EE5AA7"/>
    <w:rsid w:val="00EF6E7F"/>
    <w:rsid w:val="00F025A2"/>
    <w:rsid w:val="00F04712"/>
    <w:rsid w:val="00F07431"/>
    <w:rsid w:val="00F21311"/>
    <w:rsid w:val="00F22134"/>
    <w:rsid w:val="00F22EC7"/>
    <w:rsid w:val="00F24DE9"/>
    <w:rsid w:val="00F325C8"/>
    <w:rsid w:val="00F329C7"/>
    <w:rsid w:val="00F37186"/>
    <w:rsid w:val="00F473C8"/>
    <w:rsid w:val="00F51395"/>
    <w:rsid w:val="00F561BA"/>
    <w:rsid w:val="00F62AEB"/>
    <w:rsid w:val="00F653B8"/>
    <w:rsid w:val="00F70647"/>
    <w:rsid w:val="00F723B0"/>
    <w:rsid w:val="00F72CCC"/>
    <w:rsid w:val="00F82A53"/>
    <w:rsid w:val="00F8301F"/>
    <w:rsid w:val="00F8368D"/>
    <w:rsid w:val="00F94034"/>
    <w:rsid w:val="00F94056"/>
    <w:rsid w:val="00F95376"/>
    <w:rsid w:val="00FA1266"/>
    <w:rsid w:val="00FA1B8C"/>
    <w:rsid w:val="00FA4489"/>
    <w:rsid w:val="00FA5857"/>
    <w:rsid w:val="00FA7167"/>
    <w:rsid w:val="00FB1653"/>
    <w:rsid w:val="00FC1192"/>
    <w:rsid w:val="00FD2464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7C8E"/>
    <w:rPr>
      <w:sz w:val="24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  <w:spacing w:after="180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Pr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5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6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6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9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59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8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08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121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4051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 Olivares</cp:lastModifiedBy>
  <cp:revision>20</cp:revision>
  <cp:lastPrinted>2019-02-25T14:05:00Z</cp:lastPrinted>
  <dcterms:created xsi:type="dcterms:W3CDTF">2022-08-10T14:45:00Z</dcterms:created>
  <dcterms:modified xsi:type="dcterms:W3CDTF">2022-11-07T18:50:00Z</dcterms:modified>
  <cp:category/>
</cp:coreProperties>
</file>